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Checklist: Use Case 34 – Biannual Hygiene Review</w:t>
      </w:r>
    </w:p>
    <w:p>
      <w:r>
        <w:t>☐ Review all assets marked 'In Use' for over 3 years or missing assigned users.</w:t>
      </w:r>
    </w:p>
    <w:p>
      <w:r>
        <w:t>☐ Filter catalog items not used in the past 12 months and flag for review.</w:t>
      </w:r>
    </w:p>
    <w:p>
      <w:r>
        <w:t>☐ Identify KB articles older than 18 months or with low feedback scores.</w:t>
      </w:r>
    </w:p>
    <w:p>
      <w:r>
        <w:t>☐ Audit workflow library for: disabled automations, redundant logic, or deprecated triggers.</w:t>
      </w:r>
    </w:p>
    <w:p>
      <w:r>
        <w:t>☐ Apply tags such as 'review_q2' or 'retire_candidate' for tracking.</w:t>
      </w:r>
    </w:p>
    <w:p>
      <w:r>
        <w:t>☐ Assign cleanup actions to module owners and track outcomes.</w:t>
      </w:r>
    </w:p>
    <w:p>
      <w:r>
        <w:t>☐ Archive or update outdated content and record decisions.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